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C77" w:rsidRPr="00111C77" w:rsidRDefault="00111C77" w:rsidP="00111C77">
      <w:pPr>
        <w:jc w:val="center"/>
        <w:rPr>
          <w:b/>
          <w:color w:val="0070C0"/>
          <w:sz w:val="28"/>
          <w:szCs w:val="28"/>
          <w:lang w:val="nl-NL"/>
        </w:rPr>
      </w:pPr>
      <w:r w:rsidRPr="00111C77">
        <w:rPr>
          <w:b/>
          <w:color w:val="0070C0"/>
          <w:sz w:val="28"/>
          <w:szCs w:val="28"/>
          <w:lang w:val="nl-NL"/>
        </w:rPr>
        <w:t>Eindtermen</w:t>
      </w:r>
    </w:p>
    <w:p w:rsidR="00111C77" w:rsidRDefault="00111C77" w:rsidP="00FB137A">
      <w:pPr>
        <w:rPr>
          <w:b/>
          <w:lang w:val="nl-NL"/>
        </w:rPr>
      </w:pPr>
    </w:p>
    <w:p w:rsidR="00877EE5" w:rsidRDefault="00877EE5" w:rsidP="00FB137A">
      <w:pPr>
        <w:rPr>
          <w:b/>
          <w:lang w:val="nl-NL"/>
        </w:rPr>
      </w:pPr>
      <w:r w:rsidRPr="00877EE5">
        <w:rPr>
          <w:b/>
          <w:lang w:val="nl-NL"/>
        </w:rPr>
        <w:t>Ingangseisen</w:t>
      </w:r>
      <w:r w:rsidR="00896A72">
        <w:rPr>
          <w:b/>
          <w:lang w:val="nl-NL"/>
        </w:rPr>
        <w:t xml:space="preserve"> start opleiding</w:t>
      </w:r>
      <w:r>
        <w:rPr>
          <w:b/>
          <w:lang w:val="nl-NL"/>
        </w:rPr>
        <w:t>:</w:t>
      </w:r>
    </w:p>
    <w:p w:rsidR="00877EE5" w:rsidRPr="00877EE5" w:rsidRDefault="00877EE5" w:rsidP="00FB137A">
      <w:pPr>
        <w:rPr>
          <w:b/>
          <w:lang w:val="nl-NL"/>
        </w:rPr>
      </w:pPr>
    </w:p>
    <w:p w:rsidR="004D21F1" w:rsidRDefault="004D21F1" w:rsidP="004D21F1">
      <w:pPr>
        <w:rPr>
          <w:rFonts w:cs="Courier New"/>
          <w:lang w:val="nl-NL"/>
        </w:rPr>
      </w:pPr>
      <w:r w:rsidRPr="00117CEC">
        <w:rPr>
          <w:rFonts w:cs="Courier New"/>
          <w:lang w:val="nl-NL"/>
        </w:rPr>
        <w:t>Afgeronde studie geneeskunde en minstens drie jaar vervolgopleiding/specialisatie</w:t>
      </w:r>
      <w:r w:rsidR="00111C77">
        <w:rPr>
          <w:rFonts w:cs="Courier New"/>
          <w:lang w:val="nl-NL"/>
        </w:rPr>
        <w:t>.</w:t>
      </w:r>
    </w:p>
    <w:p w:rsidR="004D21F1" w:rsidRPr="00117CEC" w:rsidRDefault="004D21F1" w:rsidP="004D21F1">
      <w:pPr>
        <w:rPr>
          <w:rFonts w:cs="Courier New"/>
          <w:lang w:val="nl-NL"/>
        </w:rPr>
      </w:pPr>
      <w:r>
        <w:rPr>
          <w:rFonts w:cs="Courier New"/>
          <w:lang w:val="nl-NL"/>
        </w:rPr>
        <w:t>OF</w:t>
      </w:r>
    </w:p>
    <w:p w:rsidR="004D21F1" w:rsidRDefault="004D21F1" w:rsidP="004D21F1">
      <w:pPr>
        <w:rPr>
          <w:rFonts w:cs="Courier New"/>
          <w:lang w:val="nl-NL"/>
        </w:rPr>
      </w:pPr>
      <w:r w:rsidRPr="00117CEC">
        <w:rPr>
          <w:rFonts w:cs="Courier New"/>
          <w:lang w:val="nl-NL"/>
        </w:rPr>
        <w:t>Afgeronde studie farmacie en minstens drie jaar vervolgopleiding/specialisati</w:t>
      </w:r>
      <w:r>
        <w:rPr>
          <w:rFonts w:cs="Courier New"/>
          <w:lang w:val="nl-NL"/>
        </w:rPr>
        <w:t>e. Voor openbare apothekers betekent dit dat zij na de specialisatiefase van 2 jaar minimaal een jaar werkervaring dienen te hebben.</w:t>
      </w:r>
    </w:p>
    <w:p w:rsidR="004D21F1" w:rsidRPr="00117CEC" w:rsidRDefault="004D21F1" w:rsidP="004D21F1">
      <w:pPr>
        <w:rPr>
          <w:rFonts w:cs="Courier New"/>
          <w:lang w:val="nl-NL"/>
        </w:rPr>
      </w:pPr>
      <w:r>
        <w:rPr>
          <w:rFonts w:cs="Courier New"/>
          <w:lang w:val="nl-NL"/>
        </w:rPr>
        <w:t>OF</w:t>
      </w:r>
    </w:p>
    <w:p w:rsidR="00D06A10" w:rsidRDefault="004D21F1" w:rsidP="00D06A10">
      <w:pPr>
        <w:rPr>
          <w:rFonts w:cs="Courier New"/>
          <w:lang w:val="nl-NL"/>
        </w:rPr>
      </w:pPr>
      <w:r w:rsidRPr="00117CEC">
        <w:rPr>
          <w:lang w:val="nl-NL"/>
        </w:rPr>
        <w:t>Arts of apotheker of biomedische of biofarmaceutische opleiding met voldoende kennis en kunde van ziekte, gezondheid en geneesmiddelen EN promotie of promotieonderzoek op het gebied van de klinische farmacologie</w:t>
      </w:r>
      <w:r w:rsidR="00D06A10">
        <w:rPr>
          <w:lang w:val="nl-NL"/>
        </w:rPr>
        <w:t xml:space="preserve">. </w:t>
      </w:r>
      <w:r w:rsidR="00D06A10" w:rsidRPr="00917C94">
        <w:rPr>
          <w:rFonts w:cs="Courier New"/>
          <w:lang w:val="nl-NL"/>
        </w:rPr>
        <w:t>In uitzonderlijke gevallen kan een opleidingskandidaat die niet gepromoveerd is, maar wel door middel van klinisch farmacologische publicaties kan aantonen dat hij of zij een tenminste gelijkwaardige onderzoeksprestatie zal leveren of heeft geleverd als behorend bij de eisen van een PhD-traject toegelaten worden tot de opleiding.</w:t>
      </w:r>
    </w:p>
    <w:p w:rsidR="00896A72" w:rsidRDefault="00896A72" w:rsidP="00D06A10">
      <w:pPr>
        <w:rPr>
          <w:rFonts w:cs="Courier New"/>
          <w:lang w:val="nl-NL"/>
        </w:rPr>
      </w:pPr>
    </w:p>
    <w:p w:rsidR="00877EE5" w:rsidRPr="00FB2932" w:rsidRDefault="00877EE5" w:rsidP="00FB137A">
      <w:pPr>
        <w:rPr>
          <w:lang w:val="nl-NL"/>
        </w:rPr>
      </w:pPr>
    </w:p>
    <w:p w:rsidR="00FB137A" w:rsidRPr="00FB2932" w:rsidRDefault="00FB137A" w:rsidP="00FB137A">
      <w:pPr>
        <w:rPr>
          <w:lang w:val="nl-NL"/>
        </w:rPr>
      </w:pPr>
      <w:r w:rsidRPr="00FB2932">
        <w:rPr>
          <w:b/>
          <w:lang w:val="nl-NL"/>
        </w:rPr>
        <w:t>Opleidingseisen voor de klinisch farmacoloog</w:t>
      </w:r>
      <w:r w:rsidRPr="00FB2932">
        <w:rPr>
          <w:lang w:val="nl-NL"/>
        </w:rPr>
        <w:t>:</w:t>
      </w:r>
    </w:p>
    <w:p w:rsidR="00FB137A" w:rsidRPr="00D36F9D" w:rsidRDefault="00896A72" w:rsidP="00FB137A">
      <w:pPr>
        <w:rPr>
          <w:lang w:val="nl-NL"/>
        </w:rPr>
      </w:pPr>
      <w:r w:rsidRPr="00D36F9D">
        <w:rPr>
          <w:lang w:val="nl-NL"/>
        </w:rPr>
        <w:t>Hieronder vindt u de eisen waaraan een kandidaat moet voldoen om geregistreerd en gecertificeerd te kunnen worden als klinisch farmacoloog.</w:t>
      </w:r>
    </w:p>
    <w:p w:rsidR="00896A72" w:rsidRDefault="00896A72" w:rsidP="00FB137A">
      <w:pPr>
        <w:rPr>
          <w:lang w:val="nl-NL"/>
        </w:rPr>
      </w:pPr>
      <w:r w:rsidRPr="00D36F9D">
        <w:rPr>
          <w:lang w:val="nl-NL"/>
        </w:rPr>
        <w:t xml:space="preserve">Op het </w:t>
      </w:r>
      <w:r w:rsidRPr="00D36F9D">
        <w:rPr>
          <w:b/>
          <w:bCs/>
          <w:lang w:val="nl-NL"/>
        </w:rPr>
        <w:t>portfolioformulier</w:t>
      </w:r>
      <w:r w:rsidRPr="00D36F9D">
        <w:rPr>
          <w:lang w:val="nl-NL"/>
        </w:rPr>
        <w:t xml:space="preserve"> (Document D2) staat per onderdeel beschreven welke documenten de kandidaat aan het einde van de opleiding in dient te leveren om hieraan te voldoen.</w:t>
      </w:r>
      <w:r>
        <w:rPr>
          <w:lang w:val="nl-NL"/>
        </w:rPr>
        <w:t xml:space="preserve"> </w:t>
      </w:r>
    </w:p>
    <w:p w:rsidR="00896A72" w:rsidRDefault="00896A72" w:rsidP="00FB137A">
      <w:pPr>
        <w:rPr>
          <w:lang w:val="nl-NL"/>
        </w:rPr>
      </w:pPr>
    </w:p>
    <w:p w:rsidR="00111C77" w:rsidRDefault="00FB137A" w:rsidP="00FB137A">
      <w:pPr>
        <w:rPr>
          <w:lang w:val="nl-NL"/>
        </w:rPr>
      </w:pPr>
      <w:r w:rsidRPr="00841AB3">
        <w:rPr>
          <w:u w:val="single"/>
          <w:lang w:val="nl-NL"/>
        </w:rPr>
        <w:t>Farmacotherapie</w:t>
      </w:r>
    </w:p>
    <w:p w:rsidR="00111C77" w:rsidRDefault="00111C77" w:rsidP="00FB137A">
      <w:pPr>
        <w:rPr>
          <w:lang w:val="nl-NL"/>
        </w:rPr>
      </w:pPr>
    </w:p>
    <w:p w:rsidR="00FB137A" w:rsidRPr="00896A72" w:rsidRDefault="00FB137A" w:rsidP="00FB137A">
      <w:pPr>
        <w:rPr>
          <w:i/>
          <w:iCs/>
          <w:u w:val="single"/>
          <w:lang w:val="nl-NL"/>
        </w:rPr>
      </w:pPr>
      <w:r w:rsidRPr="00896A72">
        <w:rPr>
          <w:i/>
          <w:iCs/>
          <w:u w:val="single"/>
          <w:lang w:val="nl-NL"/>
        </w:rPr>
        <w:t>a) Individuele patiëntenzorg</w:t>
      </w:r>
    </w:p>
    <w:p w:rsidR="00FB137A" w:rsidRDefault="008677C6" w:rsidP="00111C77">
      <w:pPr>
        <w:ind w:left="426" w:hanging="426"/>
        <w:rPr>
          <w:lang w:val="nl-NL"/>
        </w:rPr>
      </w:pPr>
      <w:r>
        <w:rPr>
          <w:lang w:val="nl-NL"/>
        </w:rPr>
        <w:t xml:space="preserve">A1. </w:t>
      </w:r>
      <w:r w:rsidR="00111C77">
        <w:rPr>
          <w:lang w:val="nl-NL"/>
        </w:rPr>
        <w:tab/>
      </w:r>
      <w:r w:rsidR="00FB137A">
        <w:rPr>
          <w:lang w:val="nl-NL"/>
        </w:rPr>
        <w:t>Kan bij een individuele patiënt op basis van farmacokinetische overwegingen dosisaanp</w:t>
      </w:r>
      <w:r w:rsidR="00DD4F12">
        <w:rPr>
          <w:lang w:val="nl-NL"/>
        </w:rPr>
        <w:t>a</w:t>
      </w:r>
      <w:r w:rsidR="00FB137A">
        <w:rPr>
          <w:lang w:val="nl-NL"/>
        </w:rPr>
        <w:t>ssingen maken.</w:t>
      </w:r>
    </w:p>
    <w:p w:rsidR="00FB137A" w:rsidRDefault="008677C6" w:rsidP="00111C77">
      <w:pPr>
        <w:ind w:left="426" w:hanging="426"/>
        <w:rPr>
          <w:lang w:val="nl-NL"/>
        </w:rPr>
      </w:pPr>
      <w:r>
        <w:rPr>
          <w:lang w:val="nl-NL"/>
        </w:rPr>
        <w:t xml:space="preserve">A2. </w:t>
      </w:r>
      <w:r w:rsidR="00111C77">
        <w:rPr>
          <w:lang w:val="nl-NL"/>
        </w:rPr>
        <w:tab/>
      </w:r>
      <w:r w:rsidR="00FB137A">
        <w:rPr>
          <w:lang w:val="nl-NL"/>
        </w:rPr>
        <w:t>Kan bij een ind</w:t>
      </w:r>
      <w:r w:rsidR="00DD4F12">
        <w:rPr>
          <w:lang w:val="nl-NL"/>
        </w:rPr>
        <w:t>ividuele patiënt geneesmiddelen</w:t>
      </w:r>
      <w:r w:rsidR="00FB137A">
        <w:rPr>
          <w:lang w:val="nl-NL"/>
        </w:rPr>
        <w:t>concentraties  interpreteren en op basis daarvan dosisadviezen geven.</w:t>
      </w:r>
    </w:p>
    <w:p w:rsidR="00FB2932" w:rsidRDefault="008677C6" w:rsidP="00111C77">
      <w:pPr>
        <w:ind w:left="426" w:hanging="426"/>
        <w:rPr>
          <w:lang w:val="nl-NL"/>
        </w:rPr>
      </w:pPr>
      <w:r>
        <w:rPr>
          <w:lang w:val="nl-NL"/>
        </w:rPr>
        <w:t xml:space="preserve">A3. </w:t>
      </w:r>
      <w:r w:rsidR="00111C77">
        <w:rPr>
          <w:lang w:val="nl-NL"/>
        </w:rPr>
        <w:tab/>
      </w:r>
      <w:r w:rsidR="00FB2932">
        <w:rPr>
          <w:lang w:val="nl-NL"/>
        </w:rPr>
        <w:t>Kan bij een individuele patiëntencasus inschatten in hoeverre farmacogenetische analyse van belang is voor het beleid.</w:t>
      </w:r>
    </w:p>
    <w:p w:rsidR="007E1052" w:rsidRDefault="008677C6" w:rsidP="00111C77">
      <w:pPr>
        <w:ind w:left="426" w:hanging="426"/>
        <w:rPr>
          <w:lang w:val="nl-NL"/>
        </w:rPr>
      </w:pPr>
      <w:r>
        <w:rPr>
          <w:lang w:val="nl-NL"/>
        </w:rPr>
        <w:t xml:space="preserve">A4. </w:t>
      </w:r>
      <w:r w:rsidR="00111C77">
        <w:rPr>
          <w:lang w:val="nl-NL"/>
        </w:rPr>
        <w:tab/>
      </w:r>
      <w:r w:rsidR="007E1052">
        <w:rPr>
          <w:lang w:val="nl-NL"/>
        </w:rPr>
        <w:t xml:space="preserve">Kan bij een patiënt met polyfarmacie een </w:t>
      </w:r>
      <w:r w:rsidR="00111C77">
        <w:rPr>
          <w:lang w:val="nl-NL"/>
        </w:rPr>
        <w:t>patiëntenbespreking</w:t>
      </w:r>
      <w:r w:rsidR="00EA7F7D">
        <w:rPr>
          <w:lang w:val="nl-NL"/>
        </w:rPr>
        <w:t xml:space="preserve"> houden</w:t>
      </w:r>
      <w:r w:rsidR="007E1052">
        <w:rPr>
          <w:lang w:val="nl-NL"/>
        </w:rPr>
        <w:t xml:space="preserve"> en medicatieadviezen formuleren.</w:t>
      </w:r>
    </w:p>
    <w:p w:rsidR="007E1052" w:rsidRDefault="008677C6" w:rsidP="00111C77">
      <w:pPr>
        <w:ind w:left="426" w:hanging="426"/>
        <w:rPr>
          <w:lang w:val="nl-NL"/>
        </w:rPr>
      </w:pPr>
      <w:r>
        <w:rPr>
          <w:lang w:val="nl-NL"/>
        </w:rPr>
        <w:t xml:space="preserve">A5. </w:t>
      </w:r>
      <w:r w:rsidR="00111C77">
        <w:rPr>
          <w:lang w:val="nl-NL"/>
        </w:rPr>
        <w:tab/>
      </w:r>
      <w:r w:rsidR="007E1052">
        <w:rPr>
          <w:lang w:val="nl-NL"/>
        </w:rPr>
        <w:t>Kan bij bijzondere patiënten groepen (kinderen, intensive care, nier- en leverfunctiestoornissen, ouderen, zwangerschap) op basis van farmacokinetische en farmacodynamische overwegingen tot een farmacotherapiebeleid komen.</w:t>
      </w:r>
    </w:p>
    <w:p w:rsidR="007E1052" w:rsidRDefault="008677C6" w:rsidP="00111C77">
      <w:pPr>
        <w:ind w:left="426" w:hanging="426"/>
        <w:rPr>
          <w:lang w:val="nl-NL"/>
        </w:rPr>
      </w:pPr>
      <w:r>
        <w:rPr>
          <w:lang w:val="nl-NL"/>
        </w:rPr>
        <w:t xml:space="preserve">A6. </w:t>
      </w:r>
      <w:r w:rsidR="00111C77">
        <w:rPr>
          <w:lang w:val="nl-NL"/>
        </w:rPr>
        <w:tab/>
      </w:r>
      <w:r w:rsidR="007E1052">
        <w:rPr>
          <w:lang w:val="nl-NL"/>
        </w:rPr>
        <w:t>Kan bij een individuele patiënt een inschatting maken van de therapietrouw en kent technieken om deze bij de patiënt te bevorderen.</w:t>
      </w:r>
    </w:p>
    <w:p w:rsidR="007E1052" w:rsidRDefault="008677C6" w:rsidP="00111C77">
      <w:pPr>
        <w:ind w:left="426" w:hanging="426"/>
        <w:rPr>
          <w:lang w:val="nl-NL"/>
        </w:rPr>
      </w:pPr>
      <w:r>
        <w:rPr>
          <w:lang w:val="nl-NL"/>
        </w:rPr>
        <w:t xml:space="preserve">A7. </w:t>
      </w:r>
      <w:r w:rsidR="00111C77">
        <w:rPr>
          <w:lang w:val="nl-NL"/>
        </w:rPr>
        <w:tab/>
      </w:r>
      <w:r w:rsidR="007E1052">
        <w:rPr>
          <w:lang w:val="nl-NL"/>
        </w:rPr>
        <w:t>Kan een behandelplan formuleren, en de literatuuronderbouwing bespreken  bij een individuele patiënt bij wie een off label behandeling wordt ingezet.</w:t>
      </w:r>
    </w:p>
    <w:p w:rsidR="007E1052" w:rsidRPr="00FB137A" w:rsidRDefault="008677C6" w:rsidP="00111C77">
      <w:pPr>
        <w:ind w:left="426" w:hanging="426"/>
        <w:rPr>
          <w:b/>
          <w:lang w:val="nl-NL"/>
        </w:rPr>
      </w:pPr>
      <w:r>
        <w:rPr>
          <w:lang w:val="nl-NL"/>
        </w:rPr>
        <w:t xml:space="preserve">A8. </w:t>
      </w:r>
      <w:r w:rsidR="00111C77">
        <w:rPr>
          <w:lang w:val="nl-NL"/>
        </w:rPr>
        <w:tab/>
      </w:r>
      <w:r w:rsidR="007E1052">
        <w:rPr>
          <w:lang w:val="nl-NL"/>
        </w:rPr>
        <w:t>Kan een behandelplan formuleren, en de literatuuronderbouwing bespreken  bij een individuele patiënt bij wie een experimentele behandeling wordt ingezet.</w:t>
      </w:r>
    </w:p>
    <w:p w:rsidR="005B4537" w:rsidRDefault="008677C6" w:rsidP="00111C77">
      <w:pPr>
        <w:ind w:left="426" w:hanging="426"/>
        <w:rPr>
          <w:lang w:val="nl-NL"/>
        </w:rPr>
      </w:pPr>
      <w:r>
        <w:rPr>
          <w:lang w:val="nl-NL"/>
        </w:rPr>
        <w:t xml:space="preserve">A9. </w:t>
      </w:r>
      <w:r w:rsidR="00111C77">
        <w:rPr>
          <w:lang w:val="nl-NL"/>
        </w:rPr>
        <w:tab/>
      </w:r>
      <w:r w:rsidR="005B4537">
        <w:rPr>
          <w:lang w:val="nl-NL"/>
        </w:rPr>
        <w:t xml:space="preserve">Kan effectief communiceren met behandelaren en patiënten. </w:t>
      </w:r>
    </w:p>
    <w:p w:rsidR="00FB137A" w:rsidRDefault="008677C6" w:rsidP="00111C77">
      <w:pPr>
        <w:ind w:left="426" w:hanging="426"/>
        <w:rPr>
          <w:lang w:val="nl-NL"/>
        </w:rPr>
      </w:pPr>
      <w:r>
        <w:rPr>
          <w:lang w:val="nl-NL"/>
        </w:rPr>
        <w:t xml:space="preserve">A10. </w:t>
      </w:r>
      <w:r w:rsidR="00FB137A">
        <w:rPr>
          <w:lang w:val="nl-NL"/>
        </w:rPr>
        <w:t>Kent de waarde en beperkingen van TDM in het algemeen.</w:t>
      </w:r>
    </w:p>
    <w:p w:rsidR="007E1052" w:rsidRDefault="008677C6" w:rsidP="00111C77">
      <w:pPr>
        <w:ind w:left="426" w:hanging="426"/>
        <w:rPr>
          <w:lang w:val="nl-NL"/>
        </w:rPr>
      </w:pPr>
      <w:r>
        <w:rPr>
          <w:lang w:val="nl-NL"/>
        </w:rPr>
        <w:t xml:space="preserve">A11. </w:t>
      </w:r>
      <w:r w:rsidR="00FB2932">
        <w:rPr>
          <w:lang w:val="nl-NL"/>
        </w:rPr>
        <w:t>Kent de waarde en beperkingen van farmacogenetica in het algemeen.</w:t>
      </w:r>
    </w:p>
    <w:p w:rsidR="00A22AEF" w:rsidRDefault="00147935" w:rsidP="00111C77">
      <w:pPr>
        <w:ind w:left="426" w:hanging="426"/>
        <w:rPr>
          <w:lang w:val="nl-NL"/>
        </w:rPr>
      </w:pPr>
      <w:r>
        <w:rPr>
          <w:lang w:val="nl-NL"/>
        </w:rPr>
        <w:t xml:space="preserve">A12. </w:t>
      </w:r>
      <w:r w:rsidR="00A22AEF">
        <w:rPr>
          <w:lang w:val="nl-NL"/>
        </w:rPr>
        <w:t xml:space="preserve">Kan bij een individuele </w:t>
      </w:r>
      <w:r w:rsidR="00111C77">
        <w:rPr>
          <w:lang w:val="nl-NL"/>
        </w:rPr>
        <w:t>patiënt</w:t>
      </w:r>
      <w:r w:rsidR="00A22AEF">
        <w:rPr>
          <w:lang w:val="nl-NL"/>
        </w:rPr>
        <w:t xml:space="preserve"> laboratoriumwaarden interpreteren die van belang zijn bij het  individualiseren van farmacotherapie en bijwerkingen. In het bijzonder gaat het hier om de serumelectrolyten, leverenzymen en leverfunctie, en bloedgasanalyse.</w:t>
      </w:r>
    </w:p>
    <w:p w:rsidR="00F45453" w:rsidRDefault="00166B43" w:rsidP="00111C77">
      <w:pPr>
        <w:ind w:left="426" w:hanging="426"/>
        <w:rPr>
          <w:lang w:val="nl-NL"/>
        </w:rPr>
      </w:pPr>
      <w:r>
        <w:rPr>
          <w:lang w:val="nl-NL"/>
        </w:rPr>
        <w:t>A13</w:t>
      </w:r>
      <w:r w:rsidR="00147935">
        <w:rPr>
          <w:lang w:val="nl-NL"/>
        </w:rPr>
        <w:t xml:space="preserve">. </w:t>
      </w:r>
      <w:r w:rsidR="00A22AEF">
        <w:rPr>
          <w:lang w:val="nl-NL"/>
        </w:rPr>
        <w:t xml:space="preserve">Kan </w:t>
      </w:r>
      <w:r w:rsidR="00EA7F7D">
        <w:rPr>
          <w:lang w:val="nl-NL"/>
        </w:rPr>
        <w:t>andere relevante diagnostische uitslagen (zoals ECG, of longfunctie)</w:t>
      </w:r>
      <w:r w:rsidR="00A22AEF">
        <w:rPr>
          <w:lang w:val="nl-NL"/>
        </w:rPr>
        <w:t xml:space="preserve">interpreteren </w:t>
      </w:r>
      <w:r w:rsidR="00111C77">
        <w:rPr>
          <w:lang w:val="nl-NL"/>
        </w:rPr>
        <w:t>.</w:t>
      </w:r>
    </w:p>
    <w:p w:rsidR="007E1052" w:rsidRPr="00FB137A" w:rsidRDefault="007E1052" w:rsidP="00FB137A">
      <w:pPr>
        <w:rPr>
          <w:b/>
          <w:lang w:val="nl-NL"/>
        </w:rPr>
      </w:pPr>
    </w:p>
    <w:p w:rsidR="00FB137A" w:rsidRPr="00896A72" w:rsidRDefault="00FB137A" w:rsidP="00FB137A">
      <w:pPr>
        <w:rPr>
          <w:i/>
          <w:iCs/>
          <w:u w:val="single"/>
          <w:lang w:val="nl-NL"/>
        </w:rPr>
      </w:pPr>
      <w:r w:rsidRPr="00896A72">
        <w:rPr>
          <w:i/>
          <w:iCs/>
          <w:u w:val="single"/>
          <w:lang w:val="nl-NL"/>
        </w:rPr>
        <w:t>b) Regionaal geneesmiddelenbeleid</w:t>
      </w:r>
    </w:p>
    <w:p w:rsidR="007E1052" w:rsidRDefault="00166B43" w:rsidP="00111C77">
      <w:pPr>
        <w:ind w:left="426" w:hanging="426"/>
        <w:rPr>
          <w:lang w:val="nl-NL"/>
        </w:rPr>
      </w:pPr>
      <w:r>
        <w:rPr>
          <w:lang w:val="nl-NL"/>
        </w:rPr>
        <w:t>A14</w:t>
      </w:r>
      <w:r w:rsidR="008677C6">
        <w:rPr>
          <w:lang w:val="nl-NL"/>
        </w:rPr>
        <w:t xml:space="preserve">. </w:t>
      </w:r>
      <w:r w:rsidR="007E1052">
        <w:rPr>
          <w:lang w:val="nl-NL"/>
        </w:rPr>
        <w:t>Kan in een commissie zoals boven genoemd functioneren en regionaal geneesmiddelenbeleid vorm geven.</w:t>
      </w:r>
    </w:p>
    <w:p w:rsidR="00FB137A" w:rsidRDefault="00166B43" w:rsidP="00111C77">
      <w:pPr>
        <w:ind w:left="426" w:hanging="426"/>
        <w:rPr>
          <w:lang w:val="nl-NL"/>
        </w:rPr>
      </w:pPr>
      <w:r>
        <w:rPr>
          <w:lang w:val="nl-NL"/>
        </w:rPr>
        <w:t>A15</w:t>
      </w:r>
      <w:r w:rsidR="008677C6">
        <w:rPr>
          <w:lang w:val="nl-NL"/>
        </w:rPr>
        <w:t xml:space="preserve">. </w:t>
      </w:r>
      <w:r w:rsidR="00FB137A">
        <w:rPr>
          <w:lang w:val="nl-NL"/>
        </w:rPr>
        <w:t xml:space="preserve">Kent de </w:t>
      </w:r>
      <w:r w:rsidR="00DD4F12">
        <w:rPr>
          <w:lang w:val="nl-NL"/>
        </w:rPr>
        <w:t>rol van commissies die regionaal geneesmiddelenbeleid vorm geven (</w:t>
      </w:r>
      <w:r w:rsidR="001F6FAE">
        <w:rPr>
          <w:lang w:val="nl-NL"/>
        </w:rPr>
        <w:t xml:space="preserve">bijvoorbeeld in een </w:t>
      </w:r>
      <w:r w:rsidR="00DD4F12">
        <w:rPr>
          <w:lang w:val="nl-NL"/>
        </w:rPr>
        <w:t>geneesmiddele</w:t>
      </w:r>
      <w:r w:rsidR="001F6FAE">
        <w:rPr>
          <w:lang w:val="nl-NL"/>
        </w:rPr>
        <w:t xml:space="preserve">n-, formularium-, cytostatica- of </w:t>
      </w:r>
      <w:r w:rsidR="00DD4F12">
        <w:rPr>
          <w:lang w:val="nl-NL"/>
        </w:rPr>
        <w:t>antibioticacommissie).</w:t>
      </w:r>
    </w:p>
    <w:p w:rsidR="007E1052" w:rsidRDefault="00166B43" w:rsidP="00111C77">
      <w:pPr>
        <w:ind w:left="426" w:hanging="426"/>
        <w:rPr>
          <w:lang w:val="nl-NL"/>
        </w:rPr>
      </w:pPr>
      <w:r>
        <w:rPr>
          <w:lang w:val="nl-NL"/>
        </w:rPr>
        <w:t>A16</w:t>
      </w:r>
      <w:r w:rsidR="008677C6">
        <w:rPr>
          <w:lang w:val="nl-NL"/>
        </w:rPr>
        <w:t xml:space="preserve">. </w:t>
      </w:r>
      <w:r w:rsidR="007E1052">
        <w:rPr>
          <w:lang w:val="nl-NL"/>
        </w:rPr>
        <w:t>Kan een regionale behandelrichtlijn vorm geven op grond van literatuurgegevens, nationale/internationale richtlijnen en locale overwegingen.</w:t>
      </w:r>
    </w:p>
    <w:p w:rsidR="007E1052" w:rsidRDefault="00166B43" w:rsidP="00111C77">
      <w:pPr>
        <w:ind w:left="426" w:hanging="426"/>
        <w:rPr>
          <w:lang w:val="nl-NL"/>
        </w:rPr>
      </w:pPr>
      <w:r>
        <w:rPr>
          <w:lang w:val="nl-NL"/>
        </w:rPr>
        <w:t>A17</w:t>
      </w:r>
      <w:r w:rsidR="008677C6">
        <w:rPr>
          <w:lang w:val="nl-NL"/>
        </w:rPr>
        <w:t xml:space="preserve">. </w:t>
      </w:r>
      <w:r w:rsidR="007E1052">
        <w:rPr>
          <w:lang w:val="nl-NL"/>
        </w:rPr>
        <w:t>Kan maatregelen formuleren ter bevordering van medicatieveiligheid in een ziekenhuis of andere instelling waarbij geneesmiddelen voorgeschreven en uitgedeeld worden.</w:t>
      </w:r>
    </w:p>
    <w:p w:rsidR="007E1052" w:rsidRDefault="007E1052" w:rsidP="00FB137A">
      <w:pPr>
        <w:rPr>
          <w:lang w:val="nl-NL"/>
        </w:rPr>
      </w:pPr>
    </w:p>
    <w:p w:rsidR="00FB137A" w:rsidRPr="00896A72" w:rsidRDefault="00FB137A" w:rsidP="00FB137A">
      <w:pPr>
        <w:rPr>
          <w:i/>
          <w:iCs/>
          <w:u w:val="single"/>
          <w:lang w:val="nl-NL"/>
        </w:rPr>
      </w:pPr>
      <w:r w:rsidRPr="00896A72">
        <w:rPr>
          <w:i/>
          <w:iCs/>
          <w:u w:val="single"/>
          <w:lang w:val="nl-NL"/>
        </w:rPr>
        <w:t>c) Landelijk geneesmiddelenbeleid</w:t>
      </w:r>
    </w:p>
    <w:p w:rsidR="007E1052" w:rsidRDefault="00166B43" w:rsidP="00111C77">
      <w:pPr>
        <w:ind w:left="426" w:hanging="426"/>
        <w:rPr>
          <w:lang w:val="nl-NL"/>
        </w:rPr>
      </w:pPr>
      <w:r>
        <w:rPr>
          <w:lang w:val="nl-NL"/>
        </w:rPr>
        <w:t>A18</w:t>
      </w:r>
      <w:r w:rsidR="008677C6">
        <w:rPr>
          <w:lang w:val="nl-NL"/>
        </w:rPr>
        <w:t xml:space="preserve">. </w:t>
      </w:r>
      <w:r w:rsidR="007E1052">
        <w:rPr>
          <w:lang w:val="nl-NL"/>
        </w:rPr>
        <w:t xml:space="preserve">Kan een beoordeling van </w:t>
      </w:r>
      <w:r w:rsidR="005B4537">
        <w:rPr>
          <w:lang w:val="nl-NL"/>
        </w:rPr>
        <w:t xml:space="preserve">de IB van </w:t>
      </w:r>
      <w:r w:rsidR="007E1052">
        <w:rPr>
          <w:lang w:val="nl-NL"/>
        </w:rPr>
        <w:t>een geneesmiddelendossier verrichten en  de afweging maken of een geneesmiddel geregistreerd zou moeten worden.</w:t>
      </w:r>
    </w:p>
    <w:p w:rsidR="007E1052" w:rsidRDefault="00166B43" w:rsidP="00111C77">
      <w:pPr>
        <w:ind w:left="426" w:hanging="426"/>
        <w:rPr>
          <w:lang w:val="nl-NL"/>
        </w:rPr>
      </w:pPr>
      <w:r>
        <w:rPr>
          <w:lang w:val="nl-NL"/>
        </w:rPr>
        <w:t>A19</w:t>
      </w:r>
      <w:r w:rsidR="008677C6">
        <w:rPr>
          <w:lang w:val="nl-NL"/>
        </w:rPr>
        <w:t xml:space="preserve">. </w:t>
      </w:r>
      <w:r w:rsidR="007E1052">
        <w:rPr>
          <w:lang w:val="nl-NL"/>
        </w:rPr>
        <w:t xml:space="preserve">Kan de afweging maken of een geneesmiddel een therapeutische </w:t>
      </w:r>
      <w:r w:rsidR="005B4537">
        <w:rPr>
          <w:lang w:val="nl-NL"/>
        </w:rPr>
        <w:t xml:space="preserve">minderwaarde, gelijke waarde of </w:t>
      </w:r>
      <w:r w:rsidR="007E1052">
        <w:rPr>
          <w:lang w:val="nl-NL"/>
        </w:rPr>
        <w:t>meerwaarde heeft en voor vergoeding i</w:t>
      </w:r>
      <w:r w:rsidR="00F926C8">
        <w:rPr>
          <w:lang w:val="nl-NL"/>
        </w:rPr>
        <w:t>n</w:t>
      </w:r>
      <w:r w:rsidR="007E1052">
        <w:rPr>
          <w:lang w:val="nl-NL"/>
        </w:rPr>
        <w:t xml:space="preserve"> aanmerking komt.</w:t>
      </w:r>
    </w:p>
    <w:p w:rsidR="007E1052" w:rsidRDefault="00166B43" w:rsidP="00111C77">
      <w:pPr>
        <w:ind w:left="426" w:hanging="426"/>
        <w:rPr>
          <w:lang w:val="nl-NL"/>
        </w:rPr>
      </w:pPr>
      <w:r>
        <w:rPr>
          <w:lang w:val="nl-NL"/>
        </w:rPr>
        <w:t>A20</w:t>
      </w:r>
      <w:r w:rsidR="008677C6">
        <w:rPr>
          <w:lang w:val="nl-NL"/>
        </w:rPr>
        <w:t xml:space="preserve">. </w:t>
      </w:r>
      <w:r w:rsidR="007E1052">
        <w:rPr>
          <w:lang w:val="nl-NL"/>
        </w:rPr>
        <w:t>Kan een farmacoeconomische analyse beoordelen.</w:t>
      </w:r>
    </w:p>
    <w:p w:rsidR="007E1052" w:rsidRDefault="00166B43" w:rsidP="00111C77">
      <w:pPr>
        <w:ind w:left="426" w:hanging="426"/>
        <w:rPr>
          <w:lang w:val="nl-NL"/>
        </w:rPr>
      </w:pPr>
      <w:r>
        <w:rPr>
          <w:lang w:val="nl-NL"/>
        </w:rPr>
        <w:t>A21</w:t>
      </w:r>
      <w:r w:rsidR="008677C6">
        <w:rPr>
          <w:lang w:val="nl-NL"/>
        </w:rPr>
        <w:t xml:space="preserve">. </w:t>
      </w:r>
      <w:r w:rsidR="007E1052">
        <w:rPr>
          <w:lang w:val="nl-NL"/>
        </w:rPr>
        <w:t>Kan ten aanzien van een gemelde bijwerking een causaliteitsbeoordeling doen.</w:t>
      </w:r>
    </w:p>
    <w:p w:rsidR="007E1052" w:rsidRDefault="00166B43" w:rsidP="00111C77">
      <w:pPr>
        <w:ind w:left="426" w:hanging="426"/>
        <w:rPr>
          <w:lang w:val="nl-NL"/>
        </w:rPr>
      </w:pPr>
      <w:r>
        <w:rPr>
          <w:lang w:val="nl-NL"/>
        </w:rPr>
        <w:t>A22</w:t>
      </w:r>
      <w:r w:rsidR="008677C6">
        <w:rPr>
          <w:lang w:val="nl-NL"/>
        </w:rPr>
        <w:t xml:space="preserve">. </w:t>
      </w:r>
      <w:r w:rsidR="007E1052">
        <w:rPr>
          <w:lang w:val="nl-NL"/>
        </w:rPr>
        <w:t>Kan afwegen of een geneesmiddel van de markt gehaald zou moeten worden.</w:t>
      </w:r>
    </w:p>
    <w:p w:rsidR="00FB137A" w:rsidRDefault="00166B43" w:rsidP="00111C77">
      <w:pPr>
        <w:ind w:left="426" w:hanging="426"/>
        <w:rPr>
          <w:lang w:val="nl-NL"/>
        </w:rPr>
      </w:pPr>
      <w:r>
        <w:rPr>
          <w:lang w:val="nl-NL"/>
        </w:rPr>
        <w:t>A23</w:t>
      </w:r>
      <w:r w:rsidR="008677C6">
        <w:rPr>
          <w:lang w:val="nl-NL"/>
        </w:rPr>
        <w:t xml:space="preserve">. </w:t>
      </w:r>
      <w:r w:rsidR="00DD4F12">
        <w:rPr>
          <w:lang w:val="nl-NL"/>
        </w:rPr>
        <w:t xml:space="preserve">Kent de rol van het CBG en </w:t>
      </w:r>
      <w:r w:rsidR="002A3E1C">
        <w:rPr>
          <w:lang w:val="nl-NL"/>
        </w:rPr>
        <w:t>EMA</w:t>
      </w:r>
      <w:r w:rsidR="00DD4F12">
        <w:rPr>
          <w:lang w:val="nl-NL"/>
        </w:rPr>
        <w:t>.</w:t>
      </w:r>
    </w:p>
    <w:p w:rsidR="00DD4F12" w:rsidRDefault="00166B43" w:rsidP="00111C77">
      <w:pPr>
        <w:ind w:left="426" w:hanging="426"/>
        <w:rPr>
          <w:lang w:val="nl-NL"/>
        </w:rPr>
      </w:pPr>
      <w:r>
        <w:rPr>
          <w:lang w:val="nl-NL"/>
        </w:rPr>
        <w:t>A24</w:t>
      </w:r>
      <w:r w:rsidR="008677C6">
        <w:rPr>
          <w:lang w:val="nl-NL"/>
        </w:rPr>
        <w:t xml:space="preserve">. </w:t>
      </w:r>
      <w:r w:rsidR="00DD4F12">
        <w:rPr>
          <w:lang w:val="nl-NL"/>
        </w:rPr>
        <w:t xml:space="preserve">Weet hoe CBG en </w:t>
      </w:r>
      <w:r w:rsidR="002A3E1C">
        <w:rPr>
          <w:lang w:val="nl-NL"/>
        </w:rPr>
        <w:t xml:space="preserve">EMA </w:t>
      </w:r>
      <w:r w:rsidR="00DD4F12">
        <w:rPr>
          <w:lang w:val="nl-NL"/>
        </w:rPr>
        <w:t>een geneesmiddel registreren.</w:t>
      </w:r>
    </w:p>
    <w:p w:rsidR="001F6FAE" w:rsidRDefault="00166B43" w:rsidP="004870B2">
      <w:pPr>
        <w:ind w:left="426" w:hanging="426"/>
        <w:rPr>
          <w:lang w:val="nl-NL"/>
        </w:rPr>
      </w:pPr>
      <w:r>
        <w:rPr>
          <w:lang w:val="nl-NL"/>
        </w:rPr>
        <w:t>A25</w:t>
      </w:r>
      <w:r w:rsidR="008677C6">
        <w:rPr>
          <w:lang w:val="nl-NL"/>
        </w:rPr>
        <w:t xml:space="preserve">. </w:t>
      </w:r>
      <w:r w:rsidR="001F6FAE">
        <w:rPr>
          <w:lang w:val="nl-NL"/>
        </w:rPr>
        <w:t>Kent de rol van het ZIN.</w:t>
      </w:r>
    </w:p>
    <w:p w:rsidR="00FB137A" w:rsidRDefault="00166B43" w:rsidP="00FB137A">
      <w:pPr>
        <w:rPr>
          <w:lang w:val="nl-NL"/>
        </w:rPr>
      </w:pPr>
      <w:r>
        <w:rPr>
          <w:lang w:val="nl-NL"/>
        </w:rPr>
        <w:t xml:space="preserve">A26. </w:t>
      </w:r>
      <w:r w:rsidR="001F6FAE">
        <w:rPr>
          <w:lang w:val="nl-NL"/>
        </w:rPr>
        <w:t xml:space="preserve">Kent de rol van het </w:t>
      </w:r>
      <w:r w:rsidR="00FB137A">
        <w:rPr>
          <w:lang w:val="nl-NL"/>
        </w:rPr>
        <w:t>Lareb</w:t>
      </w:r>
      <w:r w:rsidR="00886F34">
        <w:rPr>
          <w:lang w:val="nl-NL"/>
        </w:rPr>
        <w:t xml:space="preserve"> en IGZ</w:t>
      </w:r>
      <w:r w:rsidR="002A3E1C">
        <w:rPr>
          <w:lang w:val="nl-NL"/>
        </w:rPr>
        <w:t>.</w:t>
      </w:r>
    </w:p>
    <w:p w:rsidR="00FB137A" w:rsidRDefault="00FB137A" w:rsidP="00FB137A">
      <w:pPr>
        <w:rPr>
          <w:lang w:val="nl-NL"/>
        </w:rPr>
      </w:pPr>
    </w:p>
    <w:p w:rsidR="00FB137A" w:rsidRPr="00877EE5" w:rsidRDefault="00FB137A" w:rsidP="00FB137A">
      <w:pPr>
        <w:rPr>
          <w:bCs/>
          <w:u w:val="single"/>
          <w:lang w:val="nl-NL"/>
        </w:rPr>
      </w:pPr>
      <w:r w:rsidRPr="00877EE5">
        <w:rPr>
          <w:bCs/>
          <w:u w:val="single"/>
          <w:lang w:val="nl-NL"/>
        </w:rPr>
        <w:t>Geneesmiddelentoxicologie</w:t>
      </w:r>
    </w:p>
    <w:p w:rsidR="00FB137A" w:rsidRDefault="008677C6" w:rsidP="00111C77">
      <w:pPr>
        <w:ind w:left="426" w:hanging="426"/>
        <w:rPr>
          <w:lang w:val="nl-NL"/>
        </w:rPr>
      </w:pPr>
      <w:r>
        <w:rPr>
          <w:lang w:val="nl-NL"/>
        </w:rPr>
        <w:t xml:space="preserve">B1. </w:t>
      </w:r>
      <w:r w:rsidR="00111C77">
        <w:rPr>
          <w:lang w:val="nl-NL"/>
        </w:rPr>
        <w:tab/>
      </w:r>
      <w:r w:rsidR="001F6FAE">
        <w:rPr>
          <w:lang w:val="nl-NL"/>
        </w:rPr>
        <w:t xml:space="preserve">Kan bij een individuele patiënt een mogelijke allergische reactie beoordelen (qua oorzaak, ernst, vervolgbeleid/adviezen voor de </w:t>
      </w:r>
      <w:r w:rsidR="002A3E1C">
        <w:rPr>
          <w:lang w:val="nl-NL"/>
        </w:rPr>
        <w:t>patiënt</w:t>
      </w:r>
      <w:r w:rsidR="001F6FAE">
        <w:rPr>
          <w:lang w:val="nl-NL"/>
        </w:rPr>
        <w:t xml:space="preserve">). </w:t>
      </w:r>
    </w:p>
    <w:p w:rsidR="001F6FAE" w:rsidRDefault="008677C6" w:rsidP="00111C77">
      <w:pPr>
        <w:ind w:left="426" w:hanging="426"/>
        <w:rPr>
          <w:lang w:val="nl-NL"/>
        </w:rPr>
      </w:pPr>
      <w:r>
        <w:rPr>
          <w:lang w:val="nl-NL"/>
        </w:rPr>
        <w:t xml:space="preserve">B2. </w:t>
      </w:r>
      <w:r w:rsidR="00111C77">
        <w:rPr>
          <w:lang w:val="nl-NL"/>
        </w:rPr>
        <w:tab/>
      </w:r>
      <w:r w:rsidR="001F6FAE">
        <w:rPr>
          <w:lang w:val="nl-NL"/>
        </w:rPr>
        <w:t xml:space="preserve">Kan bij een individuele </w:t>
      </w:r>
      <w:r w:rsidR="002A3E1C">
        <w:rPr>
          <w:lang w:val="nl-NL"/>
        </w:rPr>
        <w:t>patiënt</w:t>
      </w:r>
      <w:r w:rsidR="001F6FAE">
        <w:rPr>
          <w:lang w:val="nl-NL"/>
        </w:rPr>
        <w:t xml:space="preserve"> met een acute intoxicatie het beleid vorm geven (qua decontaminatie, monitoring, opname en aanvullende behandelingen).</w:t>
      </w:r>
    </w:p>
    <w:p w:rsidR="001F6FAE" w:rsidRDefault="008677C6" w:rsidP="00111C77">
      <w:pPr>
        <w:ind w:left="426" w:hanging="426"/>
        <w:rPr>
          <w:lang w:val="nl-NL"/>
        </w:rPr>
      </w:pPr>
      <w:r>
        <w:rPr>
          <w:lang w:val="nl-NL"/>
        </w:rPr>
        <w:t xml:space="preserve">B3. </w:t>
      </w:r>
      <w:r w:rsidR="00111C77">
        <w:rPr>
          <w:lang w:val="nl-NL"/>
        </w:rPr>
        <w:tab/>
      </w:r>
      <w:r w:rsidR="001F6FAE">
        <w:rPr>
          <w:lang w:val="nl-NL"/>
        </w:rPr>
        <w:t xml:space="preserve">Kan een behandelprotocol voor een specifieke intoxicatie opstellen. </w:t>
      </w:r>
    </w:p>
    <w:p w:rsidR="00FB137A" w:rsidRDefault="00FB137A" w:rsidP="00FB137A">
      <w:pPr>
        <w:rPr>
          <w:lang w:val="nl-NL"/>
        </w:rPr>
      </w:pPr>
    </w:p>
    <w:p w:rsidR="00FB137A" w:rsidRPr="00877EE5" w:rsidRDefault="00FB137A" w:rsidP="00FB137A">
      <w:pPr>
        <w:rPr>
          <w:bCs/>
          <w:u w:val="single"/>
          <w:lang w:val="nl-NL"/>
        </w:rPr>
      </w:pPr>
      <w:r w:rsidRPr="00877EE5">
        <w:rPr>
          <w:bCs/>
          <w:u w:val="single"/>
          <w:lang w:val="nl-NL"/>
        </w:rPr>
        <w:t>Onderwijs</w:t>
      </w:r>
    </w:p>
    <w:p w:rsidR="001F6FAE" w:rsidRDefault="008677C6" w:rsidP="00111C77">
      <w:pPr>
        <w:ind w:left="426" w:hanging="426"/>
        <w:rPr>
          <w:lang w:val="nl-NL"/>
        </w:rPr>
      </w:pPr>
      <w:r>
        <w:rPr>
          <w:lang w:val="nl-NL"/>
        </w:rPr>
        <w:t xml:space="preserve">C1. </w:t>
      </w:r>
      <w:r w:rsidR="00111C77">
        <w:rPr>
          <w:lang w:val="nl-NL"/>
        </w:rPr>
        <w:tab/>
      </w:r>
      <w:r w:rsidR="001F6FAE">
        <w:rPr>
          <w:lang w:val="nl-NL"/>
        </w:rPr>
        <w:t xml:space="preserve">Kan </w:t>
      </w:r>
      <w:r w:rsidR="005B4537">
        <w:rPr>
          <w:lang w:val="nl-NL"/>
        </w:rPr>
        <w:t xml:space="preserve">klinisch farmacologisch </w:t>
      </w:r>
      <w:r w:rsidR="001F6FAE">
        <w:rPr>
          <w:lang w:val="nl-NL"/>
        </w:rPr>
        <w:t>onderwijs verzorgen</w:t>
      </w:r>
      <w:r w:rsidR="00306D70">
        <w:rPr>
          <w:lang w:val="nl-NL"/>
        </w:rPr>
        <w:t xml:space="preserve"> op bachelor, master en postacademisch niveau.</w:t>
      </w:r>
      <w:r w:rsidR="006724DC">
        <w:rPr>
          <w:lang w:val="nl-NL"/>
        </w:rPr>
        <w:t xml:space="preserve"> Heeft zich daar tevens toe geschoold.</w:t>
      </w:r>
    </w:p>
    <w:p w:rsidR="00FB2932" w:rsidRDefault="008677C6" w:rsidP="00111C77">
      <w:pPr>
        <w:ind w:left="426" w:hanging="426"/>
        <w:rPr>
          <w:lang w:val="nl-NL"/>
        </w:rPr>
      </w:pPr>
      <w:r>
        <w:rPr>
          <w:lang w:val="nl-NL"/>
        </w:rPr>
        <w:t xml:space="preserve">C2. </w:t>
      </w:r>
      <w:r w:rsidR="00111C77">
        <w:rPr>
          <w:lang w:val="nl-NL"/>
        </w:rPr>
        <w:tab/>
      </w:r>
      <w:r w:rsidR="00FB2932">
        <w:rPr>
          <w:lang w:val="nl-NL"/>
        </w:rPr>
        <w:t xml:space="preserve">Kan </w:t>
      </w:r>
      <w:r w:rsidR="005B4537">
        <w:rPr>
          <w:lang w:val="nl-NL"/>
        </w:rPr>
        <w:t>klinisch farmacologisch</w:t>
      </w:r>
      <w:r w:rsidR="00FB2932">
        <w:rPr>
          <w:lang w:val="nl-NL"/>
        </w:rPr>
        <w:t xml:space="preserve"> onderwijs ontwikkelen op bachelor, master en postacademisch niveau. </w:t>
      </w:r>
    </w:p>
    <w:p w:rsidR="00FB2932" w:rsidRDefault="00FB2932" w:rsidP="00FB137A">
      <w:pPr>
        <w:rPr>
          <w:lang w:val="nl-NL"/>
        </w:rPr>
      </w:pPr>
    </w:p>
    <w:p w:rsidR="00FB137A" w:rsidRPr="00877EE5" w:rsidRDefault="00FB137A" w:rsidP="00FB137A">
      <w:pPr>
        <w:rPr>
          <w:bCs/>
          <w:u w:val="single"/>
          <w:lang w:val="nl-NL"/>
        </w:rPr>
      </w:pPr>
      <w:r w:rsidRPr="00877EE5">
        <w:rPr>
          <w:bCs/>
          <w:u w:val="single"/>
          <w:lang w:val="nl-NL"/>
        </w:rPr>
        <w:t>Onderzoek</w:t>
      </w:r>
    </w:p>
    <w:p w:rsidR="007E1052" w:rsidRDefault="008677C6" w:rsidP="00111C77">
      <w:pPr>
        <w:ind w:left="426" w:hanging="426"/>
        <w:rPr>
          <w:lang w:val="nl-NL"/>
        </w:rPr>
      </w:pPr>
      <w:r>
        <w:rPr>
          <w:lang w:val="nl-NL"/>
        </w:rPr>
        <w:t xml:space="preserve">D1. </w:t>
      </w:r>
      <w:r w:rsidR="00111C77">
        <w:rPr>
          <w:lang w:val="nl-NL"/>
        </w:rPr>
        <w:tab/>
      </w:r>
      <w:r w:rsidR="007E1052">
        <w:rPr>
          <w:lang w:val="nl-NL"/>
        </w:rPr>
        <w:t xml:space="preserve">Kan </w:t>
      </w:r>
      <w:r w:rsidR="005B4537">
        <w:rPr>
          <w:lang w:val="nl-NL"/>
        </w:rPr>
        <w:t>preklinisch en klinisch</w:t>
      </w:r>
      <w:r w:rsidR="007E1052">
        <w:rPr>
          <w:lang w:val="nl-NL"/>
        </w:rPr>
        <w:t xml:space="preserve"> onderzoek op wetenschappelijke merites beoordelen.</w:t>
      </w:r>
    </w:p>
    <w:p w:rsidR="007E1052" w:rsidRDefault="008677C6" w:rsidP="00111C77">
      <w:pPr>
        <w:ind w:left="426" w:hanging="426"/>
        <w:rPr>
          <w:lang w:val="nl-NL"/>
        </w:rPr>
      </w:pPr>
      <w:r>
        <w:rPr>
          <w:lang w:val="nl-NL"/>
        </w:rPr>
        <w:t xml:space="preserve">D2. </w:t>
      </w:r>
      <w:r w:rsidR="00111C77">
        <w:rPr>
          <w:lang w:val="nl-NL"/>
        </w:rPr>
        <w:tab/>
      </w:r>
      <w:r w:rsidR="007E1052">
        <w:rPr>
          <w:lang w:val="nl-NL"/>
        </w:rPr>
        <w:t>Kan de mogelijke klinische toepasbaarheid van basaal en translationeel onderzoek beoordelen.</w:t>
      </w:r>
    </w:p>
    <w:p w:rsidR="007E1052" w:rsidRDefault="008677C6" w:rsidP="00111C77">
      <w:pPr>
        <w:ind w:left="426" w:hanging="426"/>
        <w:rPr>
          <w:lang w:val="nl-NL"/>
        </w:rPr>
      </w:pPr>
      <w:r>
        <w:rPr>
          <w:lang w:val="nl-NL"/>
        </w:rPr>
        <w:t xml:space="preserve">D3. </w:t>
      </w:r>
      <w:r w:rsidR="00111C77">
        <w:rPr>
          <w:lang w:val="nl-NL"/>
        </w:rPr>
        <w:tab/>
      </w:r>
      <w:r w:rsidR="007E1052">
        <w:rPr>
          <w:lang w:val="nl-NL"/>
        </w:rPr>
        <w:t>Kan op basis van GCP geneesmiddelenonderzoek (zoals gedefinieerd in de WMO) opzetten.</w:t>
      </w:r>
    </w:p>
    <w:p w:rsidR="007E1052" w:rsidRDefault="008677C6" w:rsidP="00111C77">
      <w:pPr>
        <w:ind w:left="426" w:hanging="426"/>
        <w:rPr>
          <w:lang w:val="nl-NL"/>
        </w:rPr>
      </w:pPr>
      <w:r>
        <w:rPr>
          <w:lang w:val="nl-NL"/>
        </w:rPr>
        <w:t xml:space="preserve">D4. </w:t>
      </w:r>
      <w:r w:rsidR="00111C77">
        <w:rPr>
          <w:lang w:val="nl-NL"/>
        </w:rPr>
        <w:tab/>
      </w:r>
      <w:r w:rsidR="007E1052">
        <w:rPr>
          <w:lang w:val="nl-NL"/>
        </w:rPr>
        <w:t>Kan de code Goed Gedrag en Goed Gebruik toepassen bij het verrichten van farmacologisch onderzoek.</w:t>
      </w:r>
    </w:p>
    <w:p w:rsidR="007E1052" w:rsidRDefault="008677C6" w:rsidP="00111C77">
      <w:pPr>
        <w:ind w:left="426" w:hanging="426"/>
        <w:rPr>
          <w:lang w:val="nl-NL"/>
        </w:rPr>
      </w:pPr>
      <w:r>
        <w:rPr>
          <w:lang w:val="nl-NL"/>
        </w:rPr>
        <w:t xml:space="preserve">D5. </w:t>
      </w:r>
      <w:r w:rsidR="00111C77">
        <w:rPr>
          <w:lang w:val="nl-NL"/>
        </w:rPr>
        <w:tab/>
      </w:r>
      <w:r w:rsidR="007E1052">
        <w:rPr>
          <w:lang w:val="nl-NL"/>
        </w:rPr>
        <w:t xml:space="preserve">Kan </w:t>
      </w:r>
      <w:r w:rsidR="005B4537">
        <w:rPr>
          <w:lang w:val="nl-NL"/>
        </w:rPr>
        <w:t xml:space="preserve">voor een METC </w:t>
      </w:r>
      <w:r w:rsidR="007E1052">
        <w:rPr>
          <w:lang w:val="nl-NL"/>
        </w:rPr>
        <w:t xml:space="preserve"> een </w:t>
      </w:r>
      <w:r w:rsidR="005B4537">
        <w:rPr>
          <w:lang w:val="nl-NL"/>
        </w:rPr>
        <w:t>preadvies formuleren ten aanzien van het klinisch farmacologisch deel  van een</w:t>
      </w:r>
      <w:r w:rsidR="007E1052">
        <w:rPr>
          <w:lang w:val="nl-NL"/>
        </w:rPr>
        <w:t xml:space="preserve"> geneesmiddelenonderzoek.</w:t>
      </w:r>
    </w:p>
    <w:p w:rsidR="004C517A" w:rsidRDefault="008677C6" w:rsidP="00111C77">
      <w:pPr>
        <w:ind w:left="426" w:hanging="426"/>
        <w:rPr>
          <w:lang w:val="nl-NL"/>
        </w:rPr>
      </w:pPr>
      <w:r>
        <w:rPr>
          <w:lang w:val="nl-NL"/>
        </w:rPr>
        <w:t xml:space="preserve">D6. </w:t>
      </w:r>
      <w:r w:rsidR="00111C77">
        <w:rPr>
          <w:lang w:val="nl-NL"/>
        </w:rPr>
        <w:tab/>
      </w:r>
      <w:r w:rsidR="004C517A">
        <w:rPr>
          <w:lang w:val="nl-NL"/>
        </w:rPr>
        <w:t>Kan op een dataset basale statische analyses doen</w:t>
      </w:r>
      <w:r w:rsidR="00111C77">
        <w:rPr>
          <w:lang w:val="nl-NL"/>
        </w:rPr>
        <w:t>.</w:t>
      </w:r>
      <w:r w:rsidR="004C517A">
        <w:rPr>
          <w:lang w:val="nl-NL"/>
        </w:rPr>
        <w:t xml:space="preserve"> </w:t>
      </w:r>
    </w:p>
    <w:p w:rsidR="004C517A" w:rsidRDefault="008677C6" w:rsidP="00111C77">
      <w:pPr>
        <w:ind w:left="426" w:hanging="426"/>
        <w:rPr>
          <w:lang w:val="nl-NL"/>
        </w:rPr>
      </w:pPr>
      <w:r>
        <w:rPr>
          <w:lang w:val="nl-NL"/>
        </w:rPr>
        <w:t xml:space="preserve">D7. </w:t>
      </w:r>
      <w:r w:rsidR="00111C77">
        <w:rPr>
          <w:lang w:val="nl-NL"/>
        </w:rPr>
        <w:tab/>
      </w:r>
      <w:r w:rsidR="004C517A">
        <w:rPr>
          <w:lang w:val="nl-NL"/>
        </w:rPr>
        <w:t>Kan een farmacoepidemiologische studie beoordelen.</w:t>
      </w:r>
    </w:p>
    <w:p w:rsidR="005B4537" w:rsidRDefault="008677C6" w:rsidP="00111C77">
      <w:pPr>
        <w:ind w:left="426" w:hanging="426"/>
        <w:rPr>
          <w:lang w:val="nl-NL"/>
        </w:rPr>
      </w:pPr>
      <w:r>
        <w:rPr>
          <w:lang w:val="nl-NL"/>
        </w:rPr>
        <w:t xml:space="preserve">D8. </w:t>
      </w:r>
      <w:r w:rsidR="00111C77">
        <w:rPr>
          <w:lang w:val="nl-NL"/>
        </w:rPr>
        <w:tab/>
      </w:r>
      <w:r w:rsidR="005B4537">
        <w:rPr>
          <w:lang w:val="nl-NL"/>
        </w:rPr>
        <w:t>Kan effectief communiceren met proefpersonen.</w:t>
      </w:r>
    </w:p>
    <w:p w:rsidR="007E1052" w:rsidRDefault="008677C6" w:rsidP="00111C77">
      <w:pPr>
        <w:ind w:left="426" w:hanging="426"/>
        <w:rPr>
          <w:lang w:val="nl-NL"/>
        </w:rPr>
      </w:pPr>
      <w:r>
        <w:rPr>
          <w:lang w:val="nl-NL"/>
        </w:rPr>
        <w:t xml:space="preserve">D9. </w:t>
      </w:r>
      <w:r w:rsidR="00111C77">
        <w:rPr>
          <w:lang w:val="nl-NL"/>
        </w:rPr>
        <w:tab/>
      </w:r>
      <w:r w:rsidR="004C517A">
        <w:rPr>
          <w:lang w:val="nl-NL"/>
        </w:rPr>
        <w:t>Kent de principes om</w:t>
      </w:r>
      <w:r w:rsidR="007E1052">
        <w:rPr>
          <w:lang w:val="nl-NL"/>
        </w:rPr>
        <w:t xml:space="preserve"> op basis van bloedconcentratiebepalingen bij een set individuen PK parameters berekenen.</w:t>
      </w:r>
    </w:p>
    <w:p w:rsidR="007E1052" w:rsidRDefault="008677C6" w:rsidP="00111C77">
      <w:pPr>
        <w:ind w:left="426" w:hanging="426"/>
        <w:rPr>
          <w:lang w:val="nl-NL"/>
        </w:rPr>
      </w:pPr>
      <w:r>
        <w:rPr>
          <w:lang w:val="nl-NL"/>
        </w:rPr>
        <w:t xml:space="preserve">D10. </w:t>
      </w:r>
      <w:r w:rsidR="004C517A">
        <w:rPr>
          <w:lang w:val="nl-NL"/>
        </w:rPr>
        <w:t>Kent de principes om</w:t>
      </w:r>
      <w:r w:rsidR="007E1052">
        <w:rPr>
          <w:lang w:val="nl-NL"/>
        </w:rPr>
        <w:t xml:space="preserve"> op basis van populatie gegevens PK-PD analyses verrichten.</w:t>
      </w:r>
      <w:bookmarkStart w:id="0" w:name="_GoBack"/>
      <w:bookmarkEnd w:id="0"/>
    </w:p>
    <w:p w:rsidR="007E1052" w:rsidRDefault="008677C6" w:rsidP="00111C77">
      <w:pPr>
        <w:ind w:left="426" w:hanging="426"/>
        <w:rPr>
          <w:lang w:val="nl-NL"/>
        </w:rPr>
      </w:pPr>
      <w:r>
        <w:rPr>
          <w:lang w:val="nl-NL"/>
        </w:rPr>
        <w:t xml:space="preserve">D11. </w:t>
      </w:r>
      <w:r w:rsidR="004C517A">
        <w:rPr>
          <w:lang w:val="nl-NL"/>
        </w:rPr>
        <w:t>Kent de principes van</w:t>
      </w:r>
      <w:r w:rsidR="007E1052">
        <w:rPr>
          <w:lang w:val="nl-NL"/>
        </w:rPr>
        <w:t xml:space="preserve"> farmacoepidemiologische analyses doen. </w:t>
      </w:r>
    </w:p>
    <w:p w:rsidR="007E1052" w:rsidRDefault="008677C6" w:rsidP="00111C77">
      <w:pPr>
        <w:ind w:left="426" w:hanging="426"/>
        <w:rPr>
          <w:lang w:val="nl-NL"/>
        </w:rPr>
      </w:pPr>
      <w:r>
        <w:rPr>
          <w:lang w:val="nl-NL"/>
        </w:rPr>
        <w:lastRenderedPageBreak/>
        <w:t xml:space="preserve">D12. </w:t>
      </w:r>
      <w:r w:rsidR="004C517A">
        <w:rPr>
          <w:lang w:val="nl-NL"/>
        </w:rPr>
        <w:t xml:space="preserve">Kent de principes van </w:t>
      </w:r>
      <w:r w:rsidR="007E1052">
        <w:rPr>
          <w:lang w:val="nl-NL"/>
        </w:rPr>
        <w:t>HTA (health te</w:t>
      </w:r>
      <w:r w:rsidR="00111C77">
        <w:rPr>
          <w:lang w:val="nl-NL"/>
        </w:rPr>
        <w:t>chnology assessment) technieken.</w:t>
      </w:r>
    </w:p>
    <w:p w:rsidR="00EB376B" w:rsidRDefault="00CA4937" w:rsidP="00111C77">
      <w:pPr>
        <w:ind w:left="426" w:hanging="426"/>
        <w:rPr>
          <w:lang w:val="nl-NL"/>
        </w:rPr>
      </w:pPr>
      <w:r>
        <w:rPr>
          <w:lang w:val="nl-NL"/>
        </w:rPr>
        <w:t>D13</w:t>
      </w:r>
      <w:r w:rsidR="008677C6">
        <w:rPr>
          <w:lang w:val="nl-NL"/>
        </w:rPr>
        <w:t xml:space="preserve">. </w:t>
      </w:r>
      <w:r w:rsidR="00EB376B">
        <w:rPr>
          <w:lang w:val="nl-NL"/>
        </w:rPr>
        <w:t>Kent de fasen van het geneesmiddelen onderzoek, zowel preklinisch als klinisch (fase 1 -4)</w:t>
      </w:r>
      <w:r w:rsidR="00111C77">
        <w:rPr>
          <w:lang w:val="nl-NL"/>
        </w:rPr>
        <w:t>.</w:t>
      </w:r>
    </w:p>
    <w:p w:rsidR="00EB376B" w:rsidRDefault="00CA4937" w:rsidP="00111C77">
      <w:pPr>
        <w:ind w:left="426" w:hanging="426"/>
        <w:rPr>
          <w:lang w:val="nl-NL"/>
        </w:rPr>
      </w:pPr>
      <w:r>
        <w:rPr>
          <w:lang w:val="nl-NL"/>
        </w:rPr>
        <w:t>D14</w:t>
      </w:r>
      <w:r w:rsidR="008677C6">
        <w:rPr>
          <w:lang w:val="nl-NL"/>
        </w:rPr>
        <w:t xml:space="preserve">. </w:t>
      </w:r>
      <w:r w:rsidR="00EB376B">
        <w:rPr>
          <w:lang w:val="nl-NL"/>
        </w:rPr>
        <w:t>Kent de rol van de farmaceutische industrie bij het verrichten van farmacologisch onderzoek</w:t>
      </w:r>
      <w:r w:rsidR="00111C77">
        <w:rPr>
          <w:lang w:val="nl-NL"/>
        </w:rPr>
        <w:t>.</w:t>
      </w:r>
    </w:p>
    <w:p w:rsidR="00B60EE7" w:rsidRPr="00AA115A" w:rsidRDefault="00CA4937" w:rsidP="004870B2">
      <w:pPr>
        <w:ind w:left="426" w:hanging="426"/>
        <w:rPr>
          <w:i/>
          <w:lang w:val="nl-NL"/>
        </w:rPr>
      </w:pPr>
      <w:r>
        <w:rPr>
          <w:lang w:val="nl-NL"/>
        </w:rPr>
        <w:t>D15</w:t>
      </w:r>
      <w:r w:rsidR="008677C6">
        <w:rPr>
          <w:lang w:val="nl-NL"/>
        </w:rPr>
        <w:t xml:space="preserve">. </w:t>
      </w:r>
      <w:r w:rsidR="006724DC">
        <w:rPr>
          <w:lang w:val="nl-NL"/>
        </w:rPr>
        <w:t>Kent de rol van de CCMO.</w:t>
      </w:r>
    </w:p>
    <w:sectPr w:rsidR="00B60EE7" w:rsidRPr="00AA115A" w:rsidSect="00E4031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C77" w:rsidRDefault="00111C77" w:rsidP="00111C77">
      <w:r>
        <w:separator/>
      </w:r>
    </w:p>
  </w:endnote>
  <w:endnote w:type="continuationSeparator" w:id="0">
    <w:p w:rsidR="00111C77" w:rsidRDefault="00111C77" w:rsidP="0011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C77" w:rsidRPr="00111C77" w:rsidRDefault="00111C77" w:rsidP="00111C77">
    <w:pPr>
      <w:pStyle w:val="Voettekst"/>
      <w:rPr>
        <w:sz w:val="20"/>
        <w:szCs w:val="20"/>
        <w:lang w:val="nl-NL"/>
      </w:rPr>
    </w:pPr>
    <w:r w:rsidRPr="00111C77">
      <w:rPr>
        <w:sz w:val="20"/>
        <w:szCs w:val="20"/>
        <w:lang w:val="nl-NL"/>
      </w:rPr>
      <w:t xml:space="preserve">Document </w:t>
    </w:r>
    <w:r>
      <w:rPr>
        <w:sz w:val="20"/>
        <w:szCs w:val="20"/>
        <w:lang w:val="nl-NL"/>
      </w:rPr>
      <w:t xml:space="preserve">C </w:t>
    </w:r>
    <w:r w:rsidR="006117D1">
      <w:rPr>
        <w:sz w:val="20"/>
        <w:szCs w:val="20"/>
        <w:lang w:val="nl-NL"/>
      </w:rPr>
      <w:t>e</w:t>
    </w:r>
    <w:r>
      <w:rPr>
        <w:sz w:val="20"/>
        <w:szCs w:val="20"/>
        <w:lang w:val="nl-NL"/>
      </w:rPr>
      <w:t>indtermen</w:t>
    </w:r>
    <w:r w:rsidRPr="00111C77">
      <w:rPr>
        <w:sz w:val="20"/>
        <w:szCs w:val="20"/>
        <w:lang w:val="nl-NL"/>
      </w:rPr>
      <w:t xml:space="preserve">– versiedatum </w:t>
    </w:r>
    <w:r w:rsidR="00BA76E0">
      <w:rPr>
        <w:sz w:val="20"/>
        <w:szCs w:val="20"/>
        <w:lang w:val="nl-NL"/>
      </w:rPr>
      <w:t>januari 2022</w:t>
    </w:r>
    <w:r w:rsidR="00896A72">
      <w:rPr>
        <w:sz w:val="20"/>
        <w:szCs w:val="20"/>
        <w:lang w:val="nl-NL"/>
      </w:rPr>
      <w:t xml:space="preserve"> </w:t>
    </w:r>
    <w:r w:rsidRPr="00111C77">
      <w:rPr>
        <w:sz w:val="20"/>
        <w:szCs w:val="20"/>
        <w:lang w:val="nl-NL"/>
      </w:rPr>
      <w:t>– WEBSITE TEKST</w:t>
    </w:r>
  </w:p>
  <w:p w:rsidR="00111C77" w:rsidRPr="00111C77" w:rsidRDefault="00111C77">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C77" w:rsidRDefault="00111C77" w:rsidP="00111C77">
      <w:r>
        <w:separator/>
      </w:r>
    </w:p>
  </w:footnote>
  <w:footnote w:type="continuationSeparator" w:id="0">
    <w:p w:rsidR="00111C77" w:rsidRDefault="00111C77" w:rsidP="00111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A48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1v2+6IoxpIv14PFAc9cRAPPtrUCl22Zp6NsnIh6AgnSIl+OReuVDJ75bL/2ENYHxpUlcaWhHhNs2QVGhxmg9w==" w:salt="2/MqEONFN/wsm/Uo9E/o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137A"/>
    <w:rsid w:val="0005075D"/>
    <w:rsid w:val="0005376F"/>
    <w:rsid w:val="00055A08"/>
    <w:rsid w:val="00111C77"/>
    <w:rsid w:val="00141A45"/>
    <w:rsid w:val="00147935"/>
    <w:rsid w:val="00166B43"/>
    <w:rsid w:val="001F38BD"/>
    <w:rsid w:val="001F6FAE"/>
    <w:rsid w:val="002446EA"/>
    <w:rsid w:val="002A3E1C"/>
    <w:rsid w:val="00306D70"/>
    <w:rsid w:val="003C1C51"/>
    <w:rsid w:val="003D6CEF"/>
    <w:rsid w:val="004870B2"/>
    <w:rsid w:val="004C517A"/>
    <w:rsid w:val="004D1D23"/>
    <w:rsid w:val="004D21F1"/>
    <w:rsid w:val="004F0D3E"/>
    <w:rsid w:val="0051431D"/>
    <w:rsid w:val="00522C4E"/>
    <w:rsid w:val="005259AB"/>
    <w:rsid w:val="00541956"/>
    <w:rsid w:val="00554EBC"/>
    <w:rsid w:val="00564522"/>
    <w:rsid w:val="00580467"/>
    <w:rsid w:val="005B4537"/>
    <w:rsid w:val="005C5AD6"/>
    <w:rsid w:val="005E1F5E"/>
    <w:rsid w:val="005F7E01"/>
    <w:rsid w:val="006117D1"/>
    <w:rsid w:val="006724DC"/>
    <w:rsid w:val="006C4E16"/>
    <w:rsid w:val="00727CD9"/>
    <w:rsid w:val="00747B4E"/>
    <w:rsid w:val="0077397B"/>
    <w:rsid w:val="007E1052"/>
    <w:rsid w:val="00866446"/>
    <w:rsid w:val="008677C6"/>
    <w:rsid w:val="00877EE5"/>
    <w:rsid w:val="00886F34"/>
    <w:rsid w:val="00892E15"/>
    <w:rsid w:val="00896A72"/>
    <w:rsid w:val="008A1096"/>
    <w:rsid w:val="00917C94"/>
    <w:rsid w:val="0098498C"/>
    <w:rsid w:val="009A7E13"/>
    <w:rsid w:val="009F2B17"/>
    <w:rsid w:val="00A17D48"/>
    <w:rsid w:val="00A22AEF"/>
    <w:rsid w:val="00AA115A"/>
    <w:rsid w:val="00B572FE"/>
    <w:rsid w:val="00B60EE7"/>
    <w:rsid w:val="00B829C9"/>
    <w:rsid w:val="00B84CAB"/>
    <w:rsid w:val="00BA04BB"/>
    <w:rsid w:val="00BA76E0"/>
    <w:rsid w:val="00BE4372"/>
    <w:rsid w:val="00BF2C4C"/>
    <w:rsid w:val="00C913F4"/>
    <w:rsid w:val="00CA4937"/>
    <w:rsid w:val="00CB2788"/>
    <w:rsid w:val="00D06A10"/>
    <w:rsid w:val="00D36F9D"/>
    <w:rsid w:val="00DA2886"/>
    <w:rsid w:val="00DC7299"/>
    <w:rsid w:val="00DD4F12"/>
    <w:rsid w:val="00DD7000"/>
    <w:rsid w:val="00E12177"/>
    <w:rsid w:val="00E40311"/>
    <w:rsid w:val="00EA7F7D"/>
    <w:rsid w:val="00EB376B"/>
    <w:rsid w:val="00EE665B"/>
    <w:rsid w:val="00F163F4"/>
    <w:rsid w:val="00F45453"/>
    <w:rsid w:val="00F65748"/>
    <w:rsid w:val="00F746BD"/>
    <w:rsid w:val="00F926C8"/>
    <w:rsid w:val="00FA1204"/>
    <w:rsid w:val="00FB137A"/>
    <w:rsid w:val="00FB2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ABD22"/>
  <w15:docId w15:val="{CB5C4F4C-7F5E-482F-AF91-A801C20E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B137A"/>
    <w:rPr>
      <w:rFonts w:ascii="Calibri" w:hAnsi="Calibri" w:cs="Calibri"/>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rsid w:val="002A3E1C"/>
    <w:rPr>
      <w:sz w:val="16"/>
      <w:szCs w:val="16"/>
    </w:rPr>
  </w:style>
  <w:style w:type="paragraph" w:styleId="Tekstopmerking">
    <w:name w:val="annotation text"/>
    <w:basedOn w:val="Standaard"/>
    <w:link w:val="TekstopmerkingChar"/>
    <w:rsid w:val="002A3E1C"/>
    <w:rPr>
      <w:rFonts w:cs="Times New Roman"/>
      <w:sz w:val="20"/>
      <w:szCs w:val="20"/>
    </w:rPr>
  </w:style>
  <w:style w:type="character" w:customStyle="1" w:styleId="TekstopmerkingChar">
    <w:name w:val="Tekst opmerking Char"/>
    <w:link w:val="Tekstopmerking"/>
    <w:rsid w:val="002A3E1C"/>
    <w:rPr>
      <w:rFonts w:ascii="Calibri" w:hAnsi="Calibri" w:cs="Calibri"/>
      <w:lang w:val="en-GB" w:eastAsia="en-US"/>
    </w:rPr>
  </w:style>
  <w:style w:type="paragraph" w:styleId="Onderwerpvanopmerking">
    <w:name w:val="annotation subject"/>
    <w:basedOn w:val="Tekstopmerking"/>
    <w:next w:val="Tekstopmerking"/>
    <w:link w:val="OnderwerpvanopmerkingChar"/>
    <w:rsid w:val="002A3E1C"/>
    <w:rPr>
      <w:b/>
      <w:bCs/>
    </w:rPr>
  </w:style>
  <w:style w:type="character" w:customStyle="1" w:styleId="OnderwerpvanopmerkingChar">
    <w:name w:val="Onderwerp van opmerking Char"/>
    <w:link w:val="Onderwerpvanopmerking"/>
    <w:rsid w:val="002A3E1C"/>
    <w:rPr>
      <w:rFonts w:ascii="Calibri" w:hAnsi="Calibri" w:cs="Calibri"/>
      <w:b/>
      <w:bCs/>
      <w:lang w:val="en-GB" w:eastAsia="en-US"/>
    </w:rPr>
  </w:style>
  <w:style w:type="paragraph" w:styleId="Ballontekst">
    <w:name w:val="Balloon Text"/>
    <w:basedOn w:val="Standaard"/>
    <w:link w:val="BallontekstChar"/>
    <w:rsid w:val="002A3E1C"/>
    <w:rPr>
      <w:rFonts w:ascii="Tahoma" w:hAnsi="Tahoma" w:cs="Times New Roman"/>
      <w:sz w:val="16"/>
      <w:szCs w:val="16"/>
    </w:rPr>
  </w:style>
  <w:style w:type="character" w:customStyle="1" w:styleId="BallontekstChar">
    <w:name w:val="Ballontekst Char"/>
    <w:link w:val="Ballontekst"/>
    <w:rsid w:val="002A3E1C"/>
    <w:rPr>
      <w:rFonts w:ascii="Tahoma" w:hAnsi="Tahoma" w:cs="Tahoma"/>
      <w:sz w:val="16"/>
      <w:szCs w:val="16"/>
      <w:lang w:val="en-GB" w:eastAsia="en-US"/>
    </w:rPr>
  </w:style>
  <w:style w:type="paragraph" w:styleId="Lijstalinea">
    <w:name w:val="List Paragraph"/>
    <w:basedOn w:val="Standaard"/>
    <w:uiPriority w:val="34"/>
    <w:qFormat/>
    <w:rsid w:val="008677C6"/>
    <w:pPr>
      <w:ind w:left="720"/>
      <w:contextualSpacing/>
    </w:pPr>
  </w:style>
  <w:style w:type="paragraph" w:styleId="Koptekst">
    <w:name w:val="header"/>
    <w:basedOn w:val="Standaard"/>
    <w:link w:val="KoptekstChar"/>
    <w:unhideWhenUsed/>
    <w:rsid w:val="00111C77"/>
    <w:pPr>
      <w:tabs>
        <w:tab w:val="center" w:pos="4536"/>
        <w:tab w:val="right" w:pos="9072"/>
      </w:tabs>
    </w:pPr>
  </w:style>
  <w:style w:type="character" w:customStyle="1" w:styleId="KoptekstChar">
    <w:name w:val="Koptekst Char"/>
    <w:basedOn w:val="Standaardalinea-lettertype"/>
    <w:link w:val="Koptekst"/>
    <w:rsid w:val="00111C77"/>
    <w:rPr>
      <w:rFonts w:ascii="Calibri" w:hAnsi="Calibri" w:cs="Calibri"/>
      <w:sz w:val="22"/>
      <w:szCs w:val="22"/>
      <w:lang w:val="en-GB" w:eastAsia="en-US"/>
    </w:rPr>
  </w:style>
  <w:style w:type="paragraph" w:styleId="Voettekst">
    <w:name w:val="footer"/>
    <w:basedOn w:val="Standaard"/>
    <w:link w:val="VoettekstChar"/>
    <w:uiPriority w:val="99"/>
    <w:unhideWhenUsed/>
    <w:rsid w:val="00111C77"/>
    <w:pPr>
      <w:tabs>
        <w:tab w:val="center" w:pos="4536"/>
        <w:tab w:val="right" w:pos="9072"/>
      </w:tabs>
    </w:pPr>
  </w:style>
  <w:style w:type="character" w:customStyle="1" w:styleId="VoettekstChar">
    <w:name w:val="Voettekst Char"/>
    <w:basedOn w:val="Standaardalinea-lettertype"/>
    <w:link w:val="Voettekst"/>
    <w:uiPriority w:val="99"/>
    <w:rsid w:val="00111C77"/>
    <w:rPr>
      <w:rFonts w:ascii="Calibr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957</Words>
  <Characters>5266</Characters>
  <Application>Microsoft Office Word</Application>
  <DocSecurity>8</DocSecurity>
  <Lines>43</Lines>
  <Paragraphs>12</Paragraphs>
  <ScaleCrop>false</ScaleCrop>
  <HeadingPairs>
    <vt:vector size="2" baseType="variant">
      <vt:variant>
        <vt:lpstr>Titel</vt:lpstr>
      </vt:variant>
      <vt:variant>
        <vt:i4>1</vt:i4>
      </vt:variant>
    </vt:vector>
  </HeadingPairs>
  <TitlesOfParts>
    <vt:vector size="1" baseType="lpstr">
      <vt:lpstr>Opleidingseisen voor de klinisch farmacoloog:</vt:lpstr>
    </vt:vector>
  </TitlesOfParts>
  <Company>CWZ</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Opleidingseisen voor de klinisch farmacoloog:</dc:title>
  <dc:creator>keesk</dc:creator>
  <cp:lastModifiedBy>Scheenhart, Ellen</cp:lastModifiedBy>
  <cp:revision>4</cp:revision>
  <dcterms:created xsi:type="dcterms:W3CDTF">2022-01-07T09:27:00Z</dcterms:created>
  <dcterms:modified xsi:type="dcterms:W3CDTF">2022-01-07T09:29:00Z</dcterms:modified>
</cp:coreProperties>
</file>